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ommentsExtensible.xml" ContentType="application/vnd.openxmlformats-officedocument.wordprocessingml.commentsExtensible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BCB" w:rsidRPr="00F77142" w:rsidRDefault="00E65BCB" w:rsidP="00782F29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sz w:val="24"/>
          <w:szCs w:val="24"/>
          <w:lang w:bidi="ar-SA"/>
        </w:rPr>
      </w:pPr>
      <w:r w:rsidRPr="00F77142">
        <w:rPr>
          <w:rFonts w:ascii="Tahoma" w:eastAsia="Times New Roman" w:hAnsi="Tahoma" w:cs="Tahoma"/>
          <w:sz w:val="24"/>
          <w:szCs w:val="24"/>
          <w:lang w:bidi="ar-SA"/>
        </w:rPr>
        <w:t xml:space="preserve">Informacja prasowa, </w:t>
      </w:r>
      <w:r w:rsidR="007272C3">
        <w:rPr>
          <w:rFonts w:ascii="Tahoma" w:eastAsia="Times New Roman" w:hAnsi="Tahoma" w:cs="Tahoma"/>
          <w:sz w:val="24"/>
          <w:szCs w:val="24"/>
          <w:lang w:bidi="ar-SA"/>
        </w:rPr>
        <w:t>czerwiec</w:t>
      </w:r>
      <w:r w:rsidR="006876DB" w:rsidRPr="00F77142">
        <w:rPr>
          <w:rFonts w:ascii="Tahoma" w:eastAsia="Times New Roman" w:hAnsi="Tahoma" w:cs="Tahoma"/>
          <w:sz w:val="24"/>
          <w:szCs w:val="24"/>
          <w:lang w:bidi="ar-SA"/>
        </w:rPr>
        <w:t xml:space="preserve"> 2020</w:t>
      </w:r>
    </w:p>
    <w:p w:rsidR="006876DB" w:rsidRDefault="006876DB" w:rsidP="00782F29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sz w:val="24"/>
          <w:szCs w:val="24"/>
          <w:lang w:bidi="ar-SA"/>
        </w:rPr>
      </w:pPr>
    </w:p>
    <w:p w:rsidR="00782F29" w:rsidRPr="00782F29" w:rsidRDefault="00782F29" w:rsidP="00782F29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b/>
          <w:sz w:val="24"/>
          <w:szCs w:val="24"/>
          <w:lang w:bidi="ar-SA"/>
        </w:rPr>
      </w:pPr>
      <w:r w:rsidRPr="00782F29">
        <w:rPr>
          <w:rFonts w:ascii="Tahoma" w:eastAsia="Times New Roman" w:hAnsi="Tahoma" w:cs="Tahoma"/>
          <w:b/>
          <w:sz w:val="24"/>
          <w:szCs w:val="24"/>
          <w:lang w:bidi="ar-SA"/>
        </w:rPr>
        <w:t>Oznaczenia na opakowaniach: etykiety RFID w pojemnikach wielokrotnego użytku w branży spożywczej</w:t>
      </w:r>
    </w:p>
    <w:p w:rsidR="00782F29" w:rsidRPr="00782F29" w:rsidRDefault="00782F29" w:rsidP="00782F29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b/>
          <w:sz w:val="24"/>
          <w:szCs w:val="24"/>
          <w:lang w:bidi="ar-SA"/>
        </w:rPr>
      </w:pPr>
    </w:p>
    <w:p w:rsidR="00782F29" w:rsidRPr="00782F29" w:rsidRDefault="00782F29" w:rsidP="00782F29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b/>
          <w:sz w:val="24"/>
          <w:szCs w:val="24"/>
          <w:lang w:bidi="ar-SA"/>
        </w:rPr>
      </w:pPr>
      <w:r w:rsidRPr="00782F29">
        <w:rPr>
          <w:rFonts w:ascii="Tahoma" w:eastAsia="Times New Roman" w:hAnsi="Tahoma" w:cs="Tahoma"/>
          <w:b/>
          <w:sz w:val="24"/>
          <w:szCs w:val="24"/>
          <w:lang w:bidi="ar-SA"/>
        </w:rPr>
        <w:t>Nikogo już nie trzeba przekonywać, jak ważne jest sprawne zarządzania dostawami produktów. Nie wszyscy jednak dostrzegają, jak istotne jest również inteligentne gospodarowanie pojemnikami służącymi do ich transportu, a także jak ważne są etykiety RFID.</w:t>
      </w:r>
    </w:p>
    <w:p w:rsidR="00782F29" w:rsidRPr="00782F29" w:rsidRDefault="007272C3" w:rsidP="007272C3">
      <w:pPr>
        <w:widowControl/>
        <w:autoSpaceDE/>
        <w:autoSpaceDN/>
        <w:spacing w:line="360" w:lineRule="auto"/>
        <w:jc w:val="center"/>
        <w:rPr>
          <w:rFonts w:ascii="Tahoma" w:eastAsia="Times New Roman" w:hAnsi="Tahoma" w:cs="Tahoma"/>
          <w:sz w:val="24"/>
          <w:szCs w:val="24"/>
          <w:lang w:bidi="ar-SA"/>
        </w:rPr>
      </w:pPr>
      <w:r>
        <w:rPr>
          <w:rFonts w:ascii="Tahoma" w:eastAsia="Times New Roman" w:hAnsi="Tahoma" w:cs="Tahoma"/>
          <w:noProof/>
          <w:sz w:val="24"/>
          <w:szCs w:val="24"/>
          <w:lang w:bidi="ar-SA"/>
        </w:rPr>
        <w:drawing>
          <wp:inline distT="0" distB="0" distL="0" distR="0">
            <wp:extent cx="4921250" cy="3690938"/>
            <wp:effectExtent l="19050" t="0" r="0" b="0"/>
            <wp:docPr id="1" name="Obraz 0" descr="Etykiety w branży spożywczej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ykiety w branży spożywczej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56" cy="369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F29" w:rsidRPr="00782F29" w:rsidRDefault="00782F29" w:rsidP="00782F29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sz w:val="24"/>
          <w:szCs w:val="24"/>
          <w:lang w:bidi="ar-SA"/>
        </w:rPr>
      </w:pPr>
      <w:r w:rsidRPr="00782F29">
        <w:rPr>
          <w:rFonts w:ascii="Tahoma" w:eastAsia="Times New Roman" w:hAnsi="Tahoma" w:cs="Tahoma"/>
          <w:sz w:val="24"/>
          <w:szCs w:val="24"/>
          <w:lang w:bidi="ar-SA"/>
        </w:rPr>
        <w:t xml:space="preserve">W trosce o środowisko naturalne, ale również o wygodę, bezpieczeństwo, a także biorąc pod uwagę względy ekonomiczne, coraz częściej wykorzystujemy do transportu zwrotne opakowania wielokrotnego użytku (RTI – </w:t>
      </w:r>
      <w:proofErr w:type="spellStart"/>
      <w:r w:rsidRPr="00782F29">
        <w:rPr>
          <w:rFonts w:ascii="Tahoma" w:eastAsia="Times New Roman" w:hAnsi="Tahoma" w:cs="Tahoma"/>
          <w:sz w:val="24"/>
          <w:szCs w:val="24"/>
          <w:lang w:bidi="ar-SA"/>
        </w:rPr>
        <w:t>Returnable</w:t>
      </w:r>
      <w:proofErr w:type="spellEnd"/>
      <w:r w:rsidRPr="00782F29">
        <w:rPr>
          <w:rFonts w:ascii="Tahoma" w:eastAsia="Times New Roman" w:hAnsi="Tahoma" w:cs="Tahoma"/>
          <w:sz w:val="24"/>
          <w:szCs w:val="24"/>
          <w:lang w:bidi="ar-SA"/>
        </w:rPr>
        <w:t xml:space="preserve"> Transport </w:t>
      </w:r>
      <w:proofErr w:type="spellStart"/>
      <w:r w:rsidRPr="00782F29">
        <w:rPr>
          <w:rFonts w:ascii="Tahoma" w:eastAsia="Times New Roman" w:hAnsi="Tahoma" w:cs="Tahoma"/>
          <w:sz w:val="24"/>
          <w:szCs w:val="24"/>
          <w:lang w:bidi="ar-SA"/>
        </w:rPr>
        <w:t>Items</w:t>
      </w:r>
      <w:proofErr w:type="spellEnd"/>
      <w:r w:rsidRPr="00782F29">
        <w:rPr>
          <w:rFonts w:ascii="Tahoma" w:eastAsia="Times New Roman" w:hAnsi="Tahoma" w:cs="Tahoma"/>
          <w:sz w:val="24"/>
          <w:szCs w:val="24"/>
          <w:lang w:bidi="ar-SA"/>
        </w:rPr>
        <w:t xml:space="preserve">). Są to różnego rodzaju skrzynki, kontenery, pojemniki, wózki, czy nawet butle. Ich wspólną cechą jest to, że są nieustannie przemieszczane, zarówno wewnątrz firmy, między jej oddziałami, czy w końcu między dostawcami a klientami. Ich liczba w zależności od przedsiębiorstwa waha się od kilkudziesięciu do kilkudziesięciu, </w:t>
      </w:r>
      <w:r w:rsidRPr="00782F29">
        <w:rPr>
          <w:rFonts w:ascii="Tahoma" w:eastAsia="Times New Roman" w:hAnsi="Tahoma" w:cs="Tahoma"/>
          <w:sz w:val="24"/>
          <w:szCs w:val="24"/>
          <w:lang w:bidi="ar-SA"/>
        </w:rPr>
        <w:lastRenderedPageBreak/>
        <w:t xml:space="preserve">czy nawet kilkuset tysięcy sztuk. </w:t>
      </w:r>
    </w:p>
    <w:p w:rsidR="00782F29" w:rsidRPr="00782F29" w:rsidRDefault="00782F29" w:rsidP="00782F29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sz w:val="24"/>
          <w:szCs w:val="24"/>
          <w:lang w:bidi="ar-SA"/>
        </w:rPr>
      </w:pPr>
      <w:r w:rsidRPr="00782F29">
        <w:rPr>
          <w:rFonts w:ascii="Tahoma" w:eastAsia="Times New Roman" w:hAnsi="Tahoma" w:cs="Tahoma"/>
          <w:sz w:val="24"/>
          <w:szCs w:val="24"/>
          <w:lang w:bidi="ar-SA"/>
        </w:rPr>
        <w:t xml:space="preserve">Różnią się wielkością, kształtem, a nawet materiałem z którego są wytworzone. Najczęściej jest to plastik lub metal, ale można również spotkać rozwiązania z drewna, czy innego materiału. Jak można się domyśleć ich wartość również będzie się różniła: od kilkudziesięciu złotych do nawet ponad tysiąca. Mnożąc to przez ich liczbę, okazuje się, że mówimy tu o zasobach wartych naprawdę duże pieniądze. </w:t>
      </w:r>
    </w:p>
    <w:p w:rsidR="00782F29" w:rsidRPr="00782F29" w:rsidRDefault="00782F29" w:rsidP="00782F29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sz w:val="24"/>
          <w:szCs w:val="24"/>
          <w:lang w:bidi="ar-SA"/>
        </w:rPr>
      </w:pPr>
      <w:r w:rsidRPr="00782F29">
        <w:rPr>
          <w:rFonts w:ascii="Tahoma" w:eastAsia="Times New Roman" w:hAnsi="Tahoma" w:cs="Tahoma"/>
          <w:sz w:val="24"/>
          <w:szCs w:val="24"/>
          <w:lang w:bidi="ar-SA"/>
        </w:rPr>
        <w:t xml:space="preserve">Zasobach, które w wielu przypadkach są słabo lub nie są wcale zarządzane. Dlaczego? Może powodem tego jest fakt, że są tylko nośnikiem właściwych towarów i nikt nie przykłada do nich specjalnej uwagi. </w:t>
      </w:r>
    </w:p>
    <w:p w:rsidR="00782F29" w:rsidRPr="00782F29" w:rsidRDefault="00782F29" w:rsidP="00782F29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sz w:val="24"/>
          <w:szCs w:val="24"/>
          <w:lang w:bidi="ar-SA"/>
        </w:rPr>
      </w:pPr>
      <w:r w:rsidRPr="00782F29">
        <w:rPr>
          <w:rFonts w:ascii="Tahoma" w:eastAsia="Times New Roman" w:hAnsi="Tahoma" w:cs="Tahoma"/>
          <w:sz w:val="24"/>
          <w:szCs w:val="24"/>
          <w:lang w:bidi="ar-SA"/>
        </w:rPr>
        <w:t xml:space="preserve">Dostawcy mięsa, nabiału, pieczywa, czy napojów skupiają się głównie na dostarczaniu klientom produktów o jak najwyższej jakości, w atrakcyjnym opakowaniu oraz kuszącej cenie. I jest to w pełni zrozumiałe. </w:t>
      </w:r>
    </w:p>
    <w:p w:rsidR="00782F29" w:rsidRPr="00782F29" w:rsidRDefault="00782F29" w:rsidP="00782F29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b/>
          <w:sz w:val="24"/>
          <w:szCs w:val="24"/>
          <w:lang w:bidi="ar-SA"/>
        </w:rPr>
      </w:pPr>
      <w:r w:rsidRPr="00782F29">
        <w:rPr>
          <w:rFonts w:ascii="Tahoma" w:eastAsia="Times New Roman" w:hAnsi="Tahoma" w:cs="Tahoma"/>
          <w:b/>
          <w:sz w:val="24"/>
          <w:szCs w:val="24"/>
          <w:lang w:bidi="ar-SA"/>
        </w:rPr>
        <w:t>Etykiety RFID – nowe możliwości</w:t>
      </w:r>
    </w:p>
    <w:p w:rsidR="00782F29" w:rsidRPr="00782F29" w:rsidRDefault="00782F29" w:rsidP="00782F29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sz w:val="24"/>
          <w:szCs w:val="24"/>
          <w:lang w:bidi="ar-SA"/>
        </w:rPr>
      </w:pPr>
      <w:r w:rsidRPr="00782F29">
        <w:rPr>
          <w:rFonts w:ascii="Tahoma" w:eastAsia="Times New Roman" w:hAnsi="Tahoma" w:cs="Tahoma"/>
          <w:sz w:val="24"/>
          <w:szCs w:val="24"/>
          <w:lang w:bidi="ar-SA"/>
        </w:rPr>
        <w:t xml:space="preserve">Opakowanie zwrotne ma za zadanie tylko dostarczyć produkt do sklepu, a potem wrócić puste po kolejną dostawę. Niestety nie zawsze tak jest, niejednokrotnie pojemniki te leżakują u klienta, czasem pełne, nierozpakowane, innym razem puste, gdzieś w rogu magazynu, bo ktoś zapomniał je odesłać. </w:t>
      </w:r>
    </w:p>
    <w:p w:rsidR="00782F29" w:rsidRPr="00782F29" w:rsidRDefault="00782F29" w:rsidP="00782F29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sz w:val="24"/>
          <w:szCs w:val="24"/>
          <w:lang w:bidi="ar-SA"/>
        </w:rPr>
      </w:pPr>
      <w:r w:rsidRPr="00782F29">
        <w:rPr>
          <w:rFonts w:ascii="Tahoma" w:eastAsia="Times New Roman" w:hAnsi="Tahoma" w:cs="Tahoma"/>
          <w:sz w:val="24"/>
          <w:szCs w:val="24"/>
          <w:lang w:bidi="ar-SA"/>
        </w:rPr>
        <w:t xml:space="preserve">W efekcie dostawcy albo zaczyna brakować pojemników do transportu, albo musi inwestować w kolejne. W pierwszym przypadku może się to wiązać z opóźnieniami dostaw, w drugim z niepotrzebnym wydawaniem pieniędzy. </w:t>
      </w:r>
    </w:p>
    <w:p w:rsidR="00782F29" w:rsidRPr="00782F29" w:rsidRDefault="00782F29" w:rsidP="00782F29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sz w:val="24"/>
          <w:szCs w:val="24"/>
          <w:lang w:bidi="ar-SA"/>
        </w:rPr>
      </w:pPr>
      <w:r w:rsidRPr="00782F29">
        <w:rPr>
          <w:rFonts w:ascii="Tahoma" w:eastAsia="Times New Roman" w:hAnsi="Tahoma" w:cs="Tahoma"/>
          <w:sz w:val="24"/>
          <w:szCs w:val="24"/>
          <w:lang w:bidi="ar-SA"/>
        </w:rPr>
        <w:t xml:space="preserve">Rozwiązaniem problemu są oczywiście systemy zarządzania opakowaniami zwrotnymi. Można to oczywiście robić w różny sposób, poczynając od ołówka i notesu, przez systemy bazujące na etykietach z kodami kreskowymi, aż po najnowocześniejsze i najbardziej efektywne rozwiązania bazujące na etykietach ze znacznikami RFID. </w:t>
      </w:r>
    </w:p>
    <w:p w:rsidR="00782F29" w:rsidRPr="00782F29" w:rsidRDefault="00782F29" w:rsidP="00782F29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sz w:val="24"/>
          <w:szCs w:val="24"/>
          <w:lang w:bidi="ar-SA"/>
        </w:rPr>
      </w:pPr>
      <w:r w:rsidRPr="00782F29">
        <w:rPr>
          <w:rFonts w:ascii="Tahoma" w:eastAsia="Times New Roman" w:hAnsi="Tahoma" w:cs="Tahoma"/>
          <w:sz w:val="24"/>
          <w:szCs w:val="24"/>
          <w:lang w:bidi="ar-SA"/>
        </w:rPr>
        <w:t xml:space="preserve">Te ostatnie pozwalają nie tylko na eleganckie oznaczenie pojemników, ale również dają możliwości, o jakich wcześniej mogliśmy tylko pomarzyć. </w:t>
      </w:r>
    </w:p>
    <w:p w:rsidR="00782F29" w:rsidRPr="00782F29" w:rsidRDefault="00782F29" w:rsidP="00782F29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sz w:val="24"/>
          <w:szCs w:val="24"/>
          <w:lang w:bidi="ar-SA"/>
        </w:rPr>
      </w:pPr>
    </w:p>
    <w:p w:rsidR="00782F29" w:rsidRPr="00782F29" w:rsidRDefault="00782F29" w:rsidP="00782F29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b/>
          <w:sz w:val="24"/>
          <w:szCs w:val="24"/>
          <w:lang w:bidi="ar-SA"/>
        </w:rPr>
      </w:pPr>
      <w:r w:rsidRPr="00782F29">
        <w:rPr>
          <w:rFonts w:ascii="Tahoma" w:eastAsia="Times New Roman" w:hAnsi="Tahoma" w:cs="Tahoma"/>
          <w:b/>
          <w:sz w:val="24"/>
          <w:szCs w:val="24"/>
          <w:lang w:bidi="ar-SA"/>
        </w:rPr>
        <w:t>Oznaczenia na opakowaniach ułatwiają procesy logistyczne</w:t>
      </w:r>
    </w:p>
    <w:p w:rsidR="00782F29" w:rsidRPr="00782F29" w:rsidRDefault="00782F29" w:rsidP="00782F29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sz w:val="24"/>
          <w:szCs w:val="24"/>
          <w:lang w:bidi="ar-SA"/>
        </w:rPr>
      </w:pPr>
      <w:r w:rsidRPr="00782F29">
        <w:rPr>
          <w:rFonts w:ascii="Tahoma" w:eastAsia="Times New Roman" w:hAnsi="Tahoma" w:cs="Tahoma"/>
          <w:sz w:val="24"/>
          <w:szCs w:val="24"/>
          <w:lang w:bidi="ar-SA"/>
        </w:rPr>
        <w:lastRenderedPageBreak/>
        <w:t xml:space="preserve">Każdy kto kiedykolwiek musiał wykonać inwentaryzację w sklepie, czy na magazynie wie jak czasochłonny i nielubiany jest to proces. Z tego względu wiele firm wykonuje go tak rzadko, jak tylko jest to możliwe. W efekcie o faktycznych stanach magazynowych dowiadują się często na koniec roku. </w:t>
      </w:r>
    </w:p>
    <w:p w:rsidR="00782F29" w:rsidRPr="00782F29" w:rsidRDefault="00782F29" w:rsidP="00782F29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sz w:val="24"/>
          <w:szCs w:val="24"/>
          <w:lang w:bidi="ar-SA"/>
        </w:rPr>
      </w:pPr>
      <w:r w:rsidRPr="00782F29">
        <w:rPr>
          <w:rFonts w:ascii="Tahoma" w:eastAsia="Times New Roman" w:hAnsi="Tahoma" w:cs="Tahoma"/>
          <w:sz w:val="24"/>
          <w:szCs w:val="24"/>
          <w:lang w:bidi="ar-SA"/>
        </w:rPr>
        <w:t xml:space="preserve">W przypadku etykiety RFID, gdzie odczyt znaczników może odbywać się z dużej odległości, bez konieczności (jak w przypadku np. kodów kreskowych) odczytu pojedynczo kodu po kodzie z opakowań, które często są w trudno dostępnych miejscach, proces inwentaryzacji jest znacznie szybszy i możemy go wykonać praktycznie w dowolnym momencie. Pozwala to oczywiście na natychmiastową reakcję na ewentualne braki lub niezgodności. </w:t>
      </w:r>
    </w:p>
    <w:p w:rsidR="00782F29" w:rsidRPr="00782F29" w:rsidRDefault="00782F29" w:rsidP="00782F29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sz w:val="24"/>
          <w:szCs w:val="24"/>
          <w:lang w:bidi="ar-SA"/>
        </w:rPr>
      </w:pPr>
      <w:r w:rsidRPr="00782F29">
        <w:rPr>
          <w:rFonts w:ascii="Tahoma" w:eastAsia="Times New Roman" w:hAnsi="Tahoma" w:cs="Tahoma"/>
          <w:sz w:val="24"/>
          <w:szCs w:val="24"/>
          <w:lang w:bidi="ar-SA"/>
        </w:rPr>
        <w:t xml:space="preserve">Podobnie procesy wydań, czy przyjęć opakowań są o wiele efektywniejsze. Zamiast odczytywać np. kolejne kody ze skrzynek na palecie, wystarczy przejechać paletą przez bramkę RFID i wszystkie znaczniki zostaną przeczytane automatycznie. Pamiętajmy, że technologia RFID nie wymaga bezpośredniej widoczności etykiety RFID przez czytnik. </w:t>
      </w:r>
    </w:p>
    <w:p w:rsidR="00782F29" w:rsidRDefault="00782F29" w:rsidP="00782F29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sz w:val="24"/>
          <w:szCs w:val="24"/>
          <w:lang w:bidi="ar-SA"/>
        </w:rPr>
      </w:pPr>
      <w:r w:rsidRPr="00782F29">
        <w:rPr>
          <w:rFonts w:ascii="Tahoma" w:eastAsia="Times New Roman" w:hAnsi="Tahoma" w:cs="Tahoma"/>
          <w:sz w:val="24"/>
          <w:szCs w:val="24"/>
          <w:lang w:bidi="ar-SA"/>
        </w:rPr>
        <w:t xml:space="preserve">Dodatkową korzyścią z tego typu rozwiązania jest możliwość zapisywania (i modyfikowania) w znaczniku RFID dodatkowych informacji, przez co samo opakowanie może stać się nośnikiem informacji (np. data przydatności, data pakowania). </w:t>
      </w:r>
    </w:p>
    <w:p w:rsidR="00782F29" w:rsidRPr="00782F29" w:rsidRDefault="00782F29" w:rsidP="00782F29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sz w:val="24"/>
          <w:szCs w:val="24"/>
          <w:lang w:bidi="ar-SA"/>
        </w:rPr>
      </w:pPr>
    </w:p>
    <w:p w:rsidR="00782F29" w:rsidRPr="00782F29" w:rsidRDefault="00782F29" w:rsidP="00782F29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b/>
          <w:sz w:val="24"/>
          <w:szCs w:val="24"/>
          <w:lang w:bidi="ar-SA"/>
        </w:rPr>
      </w:pPr>
      <w:r w:rsidRPr="00782F29">
        <w:rPr>
          <w:rFonts w:ascii="Tahoma" w:eastAsia="Times New Roman" w:hAnsi="Tahoma" w:cs="Tahoma"/>
          <w:b/>
          <w:sz w:val="24"/>
          <w:szCs w:val="24"/>
          <w:lang w:bidi="ar-SA"/>
        </w:rPr>
        <w:t>Oznaczenia opakowań plastikowych – sprawny monitoring i raportowanie</w:t>
      </w:r>
    </w:p>
    <w:p w:rsidR="00782F29" w:rsidRPr="00782F29" w:rsidRDefault="00782F29" w:rsidP="00782F29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sz w:val="24"/>
          <w:szCs w:val="24"/>
          <w:lang w:bidi="ar-SA"/>
        </w:rPr>
      </w:pPr>
      <w:r w:rsidRPr="00782F29">
        <w:rPr>
          <w:rFonts w:ascii="Tahoma" w:eastAsia="Times New Roman" w:hAnsi="Tahoma" w:cs="Tahoma"/>
          <w:sz w:val="24"/>
          <w:szCs w:val="24"/>
          <w:lang w:bidi="ar-SA"/>
        </w:rPr>
        <w:t xml:space="preserve">Dariusz J. Kawecki, </w:t>
      </w:r>
      <w:proofErr w:type="spellStart"/>
      <w:r w:rsidRPr="00782F29">
        <w:rPr>
          <w:rFonts w:ascii="Tahoma" w:eastAsia="Times New Roman" w:hAnsi="Tahoma" w:cs="Tahoma"/>
          <w:sz w:val="24"/>
          <w:szCs w:val="24"/>
          <w:lang w:bidi="ar-SA"/>
        </w:rPr>
        <w:t>Product</w:t>
      </w:r>
      <w:proofErr w:type="spellEnd"/>
      <w:r w:rsidRPr="00782F29">
        <w:rPr>
          <w:rFonts w:ascii="Tahoma" w:eastAsia="Times New Roman" w:hAnsi="Tahoma" w:cs="Tahoma"/>
          <w:sz w:val="24"/>
          <w:szCs w:val="24"/>
          <w:lang w:bidi="ar-SA"/>
        </w:rPr>
        <w:t xml:space="preserve"> Manager z Etisoft tłumaczy:</w:t>
      </w:r>
    </w:p>
    <w:p w:rsidR="00782F29" w:rsidRPr="00782F29" w:rsidRDefault="00782F29" w:rsidP="00782F29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sz w:val="24"/>
          <w:szCs w:val="24"/>
          <w:lang w:bidi="ar-SA"/>
        </w:rPr>
      </w:pPr>
      <w:r w:rsidRPr="00782F29">
        <w:rPr>
          <w:rFonts w:ascii="Tahoma" w:eastAsia="Times New Roman" w:hAnsi="Tahoma" w:cs="Tahoma"/>
          <w:sz w:val="24"/>
          <w:szCs w:val="24"/>
          <w:lang w:bidi="ar-SA"/>
        </w:rPr>
        <w:t xml:space="preserve">Rozwiązania oparte o RFID pozwalają również, w przypadkach gdzie jest to konieczne, na monitorowanie wybranych parametrów warunków transportu i przechowywania pojemników, takich jak temperatura, czy wilgotność. Oznaczenia na opakowaniach wykonane prawidłowo wraz ze sprawnie działającym systemem monitorującym ich przemieszczanie się pozwalają użytkownikowi na uzyskanie szeregu raportów i zestawień. Wiemy nie tylko, gdzie znajdują się wybrane pojemniki, ale również możemy mieć informacje, np. o wysokiej lub niskiej rotacji pojemników, czy jeśli jest to wymagane, o konieczności serwisowania. </w:t>
      </w:r>
    </w:p>
    <w:p w:rsidR="00D922C5" w:rsidRPr="00F77142" w:rsidRDefault="00782F29" w:rsidP="00782F29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sz w:val="24"/>
          <w:szCs w:val="24"/>
          <w:lang w:bidi="ar-SA"/>
        </w:rPr>
      </w:pPr>
      <w:r w:rsidRPr="00782F29">
        <w:rPr>
          <w:rFonts w:ascii="Tahoma" w:eastAsia="Times New Roman" w:hAnsi="Tahoma" w:cs="Tahoma"/>
          <w:sz w:val="24"/>
          <w:szCs w:val="24"/>
          <w:lang w:bidi="ar-SA"/>
        </w:rPr>
        <w:t xml:space="preserve">Oczywiście, podobnie jak w przypadku standardowych etykiet, ważny jest odpowiedni dobór etykiety RFID w zależności od pojemnika i warunków, w jakich będzie użytkowany. Dotyczy to doboru </w:t>
      </w:r>
      <w:r w:rsidRPr="00782F29">
        <w:rPr>
          <w:rFonts w:ascii="Tahoma" w:eastAsia="Times New Roman" w:hAnsi="Tahoma" w:cs="Tahoma"/>
          <w:sz w:val="24"/>
          <w:szCs w:val="24"/>
          <w:lang w:bidi="ar-SA"/>
        </w:rPr>
        <w:lastRenderedPageBreak/>
        <w:t>odpowiedniego materiału, kleju, ale również parametrów samego znacznika RFID. Stąd też istotny jest zarówno wybór dostawcy posiadającego doświadczenie w tym zakresie, jak również możliwość przeprowadzenia ostatecznych testów u klienta.</w:t>
      </w:r>
    </w:p>
    <w:sectPr w:rsidR="00D922C5" w:rsidRPr="00F77142" w:rsidSect="0069739C">
      <w:headerReference w:type="default" r:id="rId9"/>
      <w:footerReference w:type="default" r:id="rId10"/>
      <w:type w:val="continuous"/>
      <w:pgSz w:w="11910" w:h="16840"/>
      <w:pgMar w:top="2127" w:right="600" w:bottom="280" w:left="600" w:header="708" w:footer="652" w:gutter="0"/>
      <w:cols w:space="545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6C8EDE2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691C0E" w16cex:dateUtc="2020-05-15T11:4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C8EDE21" w16cid:durableId="22691C0E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52E7" w:rsidRDefault="008752E7" w:rsidP="00812127">
      <w:r>
        <w:separator/>
      </w:r>
    </w:p>
  </w:endnote>
  <w:endnote w:type="continuationSeparator" w:id="0">
    <w:p w:rsidR="008752E7" w:rsidRDefault="008752E7" w:rsidP="008121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aleway">
    <w:altName w:val="Trebuchet MS"/>
    <w:charset w:val="EE"/>
    <w:family w:val="swiss"/>
    <w:pitch w:val="variable"/>
    <w:sig w:usb0="A00002FF" w:usb1="5000205B" w:usb2="00000000" w:usb3="00000000" w:csb0="00000097" w:csb1="00000000"/>
  </w:font>
  <w:font w:name="Helvetica Neue LT Pro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altName w:val="Calibri"/>
    <w:charset w:val="EE"/>
    <w:family w:val="swiss"/>
    <w:pitch w:val="variable"/>
    <w:sig w:usb0="00000001" w:usb1="5000ECFF" w:usb2="0000002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159D" w:rsidRPr="009041E5" w:rsidRDefault="0062159D" w:rsidP="0062159D">
    <w:pPr>
      <w:spacing w:before="100"/>
      <w:ind w:left="120"/>
      <w:rPr>
        <w:rFonts w:ascii="Lato" w:hAnsi="Lato"/>
        <w:b/>
        <w:sz w:val="18"/>
        <w:lang w:val="en-US"/>
      </w:rPr>
    </w:pPr>
    <w:r w:rsidRPr="0062159D">
      <w:rPr>
        <w:noProof/>
        <w:lang w:bidi="ar-SA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6238875</wp:posOffset>
          </wp:positionH>
          <wp:positionV relativeFrom="paragraph">
            <wp:posOffset>25096</wp:posOffset>
          </wp:positionV>
          <wp:extent cx="536575" cy="409575"/>
          <wp:effectExtent l="0" t="0" r="0" b="0"/>
          <wp:wrapNone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65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C644A" w:rsidRPr="00FC644A">
      <w:rPr>
        <w:noProof/>
      </w:rPr>
      <w:pict>
        <v:line id="Line 1" o:spid="_x0000_s4097" style="position:absolute;left:0;text-align:left;z-index:-251657728;visibility:visible;mso-wrap-distance-left:0;mso-wrap-distance-top:-3e-5mm;mso-wrap-distance-right:0;mso-wrap-distance-bottom:-3e-5mm;mso-position-horizontal-relative:page;mso-position-vertical-relative:text" from="36pt,-.6pt" to="559.3pt,-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" strokecolor="#b61e42" strokeweight=".25011mm">
          <w10:wrap type="topAndBottom" anchorx="page"/>
        </v:line>
      </w:pict>
    </w:r>
    <w:proofErr w:type="spellStart"/>
    <w:r w:rsidR="009041E5" w:rsidRPr="009041E5">
      <w:rPr>
        <w:rFonts w:ascii="Lato" w:hAnsi="Lato"/>
        <w:b/>
        <w:color w:val="00234B"/>
        <w:sz w:val="18"/>
        <w:lang w:val="en-US"/>
      </w:rPr>
      <w:t>Commplace</w:t>
    </w:r>
    <w:proofErr w:type="spellEnd"/>
    <w:r w:rsidR="009041E5" w:rsidRPr="009041E5">
      <w:rPr>
        <w:rFonts w:ascii="Lato" w:hAnsi="Lato"/>
        <w:b/>
        <w:color w:val="00234B"/>
        <w:sz w:val="18"/>
        <w:lang w:val="en-US"/>
      </w:rPr>
      <w:t xml:space="preserve"> </w:t>
    </w:r>
    <w:r w:rsidRPr="009041E5">
      <w:rPr>
        <w:rFonts w:ascii="Lato" w:hAnsi="Lato"/>
        <w:b/>
        <w:color w:val="00234B"/>
        <w:sz w:val="18"/>
        <w:lang w:val="en-US"/>
      </w:rPr>
      <w:t xml:space="preserve">Sp. z </w:t>
    </w:r>
    <w:proofErr w:type="spellStart"/>
    <w:r w:rsidRPr="009041E5">
      <w:rPr>
        <w:rFonts w:ascii="Lato" w:hAnsi="Lato"/>
        <w:b/>
        <w:color w:val="00234B"/>
        <w:sz w:val="18"/>
        <w:lang w:val="en-US"/>
      </w:rPr>
      <w:t>o.o</w:t>
    </w:r>
    <w:proofErr w:type="spellEnd"/>
    <w:r w:rsidRPr="009041E5">
      <w:rPr>
        <w:rFonts w:ascii="Lato" w:hAnsi="Lato"/>
        <w:b/>
        <w:color w:val="00234B"/>
        <w:sz w:val="18"/>
        <w:lang w:val="en-US"/>
      </w:rPr>
      <w:t xml:space="preserve">. </w:t>
    </w:r>
    <w:proofErr w:type="spellStart"/>
    <w:r w:rsidR="0073666C" w:rsidRPr="009041E5">
      <w:rPr>
        <w:rFonts w:ascii="Lato" w:hAnsi="Lato"/>
        <w:b/>
        <w:color w:val="00234B"/>
        <w:sz w:val="18"/>
        <w:lang w:val="en-US"/>
      </w:rPr>
      <w:t>Sp.K</w:t>
    </w:r>
    <w:proofErr w:type="spellEnd"/>
    <w:r w:rsidR="0073666C" w:rsidRPr="009041E5">
      <w:rPr>
        <w:rFonts w:ascii="Lato" w:hAnsi="Lato"/>
        <w:b/>
        <w:color w:val="00234B"/>
        <w:sz w:val="18"/>
        <w:lang w:val="en-US"/>
      </w:rPr>
      <w:t>.</w:t>
    </w:r>
  </w:p>
  <w:p w:rsidR="0062159D" w:rsidRPr="00D43345" w:rsidRDefault="0062159D" w:rsidP="0062159D">
    <w:pPr>
      <w:pStyle w:val="Tekstpodstawowy"/>
      <w:spacing w:before="80"/>
      <w:ind w:left="120"/>
      <w:rPr>
        <w:rFonts w:ascii="Lato" w:hAnsi="Lato"/>
      </w:rPr>
    </w:pPr>
    <w:r w:rsidRPr="00D43345">
      <w:rPr>
        <w:rFonts w:ascii="Lato" w:hAnsi="Lato"/>
        <w:color w:val="00234B"/>
      </w:rPr>
      <w:t>ul. Liczyrzepy</w:t>
    </w:r>
    <w:r w:rsidRPr="00D43345">
      <w:rPr>
        <w:rFonts w:ascii="Lato" w:hAnsi="Lato"/>
        <w:color w:val="00234B"/>
        <w:spacing w:val="-9"/>
      </w:rPr>
      <w:t xml:space="preserve"> </w:t>
    </w:r>
    <w:r w:rsidRPr="00D43345">
      <w:rPr>
        <w:rFonts w:ascii="Lato" w:hAnsi="Lato"/>
        <w:color w:val="00234B"/>
      </w:rPr>
      <w:t>20</w:t>
    </w:r>
    <w:r>
      <w:rPr>
        <w:rFonts w:ascii="Lato" w:hAnsi="Lato"/>
        <w:color w:val="00234B"/>
      </w:rPr>
      <w:t xml:space="preserve">                                                          </w:t>
    </w:r>
    <w:r w:rsidR="0073666C">
      <w:rPr>
        <w:rFonts w:ascii="Lato" w:hAnsi="Lato"/>
        <w:color w:val="00234B"/>
      </w:rPr>
      <w:t xml:space="preserve">                   </w:t>
    </w:r>
  </w:p>
  <w:p w:rsidR="008D7D17" w:rsidRDefault="0062159D" w:rsidP="0062159D">
    <w:pPr>
      <w:pStyle w:val="Tekstpodstawowy"/>
      <w:spacing w:before="56"/>
      <w:ind w:left="120"/>
      <w:rPr>
        <w:rFonts w:ascii="Lato" w:hAnsi="Lato"/>
        <w:color w:val="00234B"/>
      </w:rPr>
    </w:pPr>
    <w:r w:rsidRPr="00D43345">
      <w:rPr>
        <w:rFonts w:ascii="Lato" w:hAnsi="Lato"/>
        <w:color w:val="00234B"/>
      </w:rPr>
      <w:t>58-564 Sosnówka k. Karpacza</w:t>
    </w:r>
  </w:p>
  <w:p w:rsidR="00AE4EE9" w:rsidRDefault="008D7D17" w:rsidP="00AE4EE9">
    <w:pPr>
      <w:pStyle w:val="Tekstpodstawowy"/>
      <w:spacing w:before="80"/>
      <w:ind w:left="120"/>
      <w:rPr>
        <w:rFonts w:ascii="Lato" w:hAnsi="Lato"/>
      </w:rPr>
    </w:pPr>
    <w:r>
      <w:rPr>
        <w:rFonts w:ascii="Lato" w:hAnsi="Lato"/>
        <w:color w:val="00234B"/>
      </w:rPr>
      <w:t>NIP: 611-280-33-80</w:t>
    </w:r>
    <w:r w:rsidR="0062159D">
      <w:rPr>
        <w:rFonts w:ascii="Lato" w:hAnsi="Lato"/>
      </w:rPr>
      <w:t xml:space="preserve">  </w:t>
    </w:r>
  </w:p>
  <w:p w:rsidR="0062159D" w:rsidRPr="00AE4EE9" w:rsidRDefault="00AE4EE9" w:rsidP="00AE4EE9">
    <w:pPr>
      <w:pStyle w:val="Tekstpodstawowy"/>
      <w:spacing w:before="80"/>
      <w:ind w:left="120"/>
      <w:rPr>
        <w:rFonts w:ascii="Lato" w:hAnsi="Lato"/>
        <w:b/>
      </w:rPr>
    </w:pPr>
    <w:r>
      <w:rPr>
        <w:rFonts w:ascii="Lato" w:hAnsi="Lato"/>
        <w:b/>
      </w:rPr>
      <w:t>c</w:t>
    </w:r>
    <w:r w:rsidRPr="00AE4EE9">
      <w:rPr>
        <w:rFonts w:ascii="Lato" w:hAnsi="Lato"/>
        <w:b/>
      </w:rPr>
      <w:t>ommplace.pl</w:t>
    </w:r>
  </w:p>
  <w:p w:rsidR="0062159D" w:rsidRDefault="0062159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52E7" w:rsidRDefault="008752E7" w:rsidP="00812127">
      <w:r>
        <w:separator/>
      </w:r>
    </w:p>
  </w:footnote>
  <w:footnote w:type="continuationSeparator" w:id="0">
    <w:p w:rsidR="008752E7" w:rsidRDefault="008752E7" w:rsidP="008121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2127" w:rsidRDefault="009630C9">
    <w:pPr>
      <w:pStyle w:val="Nagwek"/>
    </w:pPr>
    <w:r>
      <w:rPr>
        <w:noProof/>
        <w:lang w:bidi="ar-SA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-84455</wp:posOffset>
          </wp:positionH>
          <wp:positionV relativeFrom="paragraph">
            <wp:posOffset>-91440</wp:posOffset>
          </wp:positionV>
          <wp:extent cx="1158086" cy="882595"/>
          <wp:effectExtent l="0" t="0" r="0" b="0"/>
          <wp:wrapNone/>
          <wp:docPr id="27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086" cy="882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720DB"/>
    <w:multiLevelType w:val="multilevel"/>
    <w:tmpl w:val="63EE0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B427EA"/>
    <w:multiLevelType w:val="hybridMultilevel"/>
    <w:tmpl w:val="0B0E99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2C44AD"/>
    <w:multiLevelType w:val="hybridMultilevel"/>
    <w:tmpl w:val="C63451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886F65"/>
    <w:multiLevelType w:val="multilevel"/>
    <w:tmpl w:val="8AAC8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3004A3B"/>
    <w:multiLevelType w:val="hybridMultilevel"/>
    <w:tmpl w:val="6B82E9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F80CB5"/>
    <w:multiLevelType w:val="multilevel"/>
    <w:tmpl w:val="7C94B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0D3171D"/>
    <w:multiLevelType w:val="multilevel"/>
    <w:tmpl w:val="F2B6E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6E73F11"/>
    <w:multiLevelType w:val="multilevel"/>
    <w:tmpl w:val="82AA4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3"/>
  </w:num>
  <w:num w:numId="5">
    <w:abstractNumId w:val="5"/>
  </w:num>
  <w:num w:numId="6">
    <w:abstractNumId w:val="6"/>
  </w:num>
  <w:num w:numId="7">
    <w:abstractNumId w:val="0"/>
  </w:num>
  <w:num w:numId="8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Marek Gaweł">
    <w15:presenceInfo w15:providerId="AD" w15:userId="S-1-5-21-1614895754-73586283-725345543-4904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921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9D0AB5"/>
    <w:rsid w:val="00002B6B"/>
    <w:rsid w:val="00006235"/>
    <w:rsid w:val="00097258"/>
    <w:rsid w:val="000B02A0"/>
    <w:rsid w:val="000D1763"/>
    <w:rsid w:val="000E5644"/>
    <w:rsid w:val="00102529"/>
    <w:rsid w:val="00121BFC"/>
    <w:rsid w:val="00127CA9"/>
    <w:rsid w:val="00135EDA"/>
    <w:rsid w:val="001546F0"/>
    <w:rsid w:val="00172AC1"/>
    <w:rsid w:val="00180068"/>
    <w:rsid w:val="001861CD"/>
    <w:rsid w:val="0019045F"/>
    <w:rsid w:val="00193456"/>
    <w:rsid w:val="001A58A2"/>
    <w:rsid w:val="001C0856"/>
    <w:rsid w:val="001D2AB1"/>
    <w:rsid w:val="001E4B6E"/>
    <w:rsid w:val="001F5C91"/>
    <w:rsid w:val="0020273B"/>
    <w:rsid w:val="002152B1"/>
    <w:rsid w:val="002268C7"/>
    <w:rsid w:val="002306E2"/>
    <w:rsid w:val="00231C0E"/>
    <w:rsid w:val="00232888"/>
    <w:rsid w:val="00232B06"/>
    <w:rsid w:val="0023730F"/>
    <w:rsid w:val="00241984"/>
    <w:rsid w:val="00250AA9"/>
    <w:rsid w:val="00275924"/>
    <w:rsid w:val="00284CD6"/>
    <w:rsid w:val="00291191"/>
    <w:rsid w:val="00291DE2"/>
    <w:rsid w:val="00294EFD"/>
    <w:rsid w:val="002E3869"/>
    <w:rsid w:val="00321934"/>
    <w:rsid w:val="00356324"/>
    <w:rsid w:val="00360555"/>
    <w:rsid w:val="003727D9"/>
    <w:rsid w:val="00374CE5"/>
    <w:rsid w:val="0039003B"/>
    <w:rsid w:val="00391232"/>
    <w:rsid w:val="003A0EE0"/>
    <w:rsid w:val="003A645A"/>
    <w:rsid w:val="003B528F"/>
    <w:rsid w:val="003C28AF"/>
    <w:rsid w:val="003D5B18"/>
    <w:rsid w:val="003D6916"/>
    <w:rsid w:val="003F04A7"/>
    <w:rsid w:val="003F088D"/>
    <w:rsid w:val="003F5516"/>
    <w:rsid w:val="004006E7"/>
    <w:rsid w:val="00401723"/>
    <w:rsid w:val="00406C7C"/>
    <w:rsid w:val="00410C46"/>
    <w:rsid w:val="00413644"/>
    <w:rsid w:val="00415A2C"/>
    <w:rsid w:val="00420D37"/>
    <w:rsid w:val="0042218E"/>
    <w:rsid w:val="00431142"/>
    <w:rsid w:val="004336ED"/>
    <w:rsid w:val="0043652E"/>
    <w:rsid w:val="00461316"/>
    <w:rsid w:val="00463475"/>
    <w:rsid w:val="00463781"/>
    <w:rsid w:val="00467CBF"/>
    <w:rsid w:val="00476860"/>
    <w:rsid w:val="004835C8"/>
    <w:rsid w:val="004866EC"/>
    <w:rsid w:val="004962FD"/>
    <w:rsid w:val="004A6DB4"/>
    <w:rsid w:val="004B3425"/>
    <w:rsid w:val="004B7AB2"/>
    <w:rsid w:val="004C0A9A"/>
    <w:rsid w:val="004C582C"/>
    <w:rsid w:val="004E3A41"/>
    <w:rsid w:val="00542312"/>
    <w:rsid w:val="0056042B"/>
    <w:rsid w:val="00566362"/>
    <w:rsid w:val="00580DFD"/>
    <w:rsid w:val="00583CED"/>
    <w:rsid w:val="005A26E0"/>
    <w:rsid w:val="005A3787"/>
    <w:rsid w:val="005A3D8F"/>
    <w:rsid w:val="005A6CB9"/>
    <w:rsid w:val="005C2DA3"/>
    <w:rsid w:val="005D584B"/>
    <w:rsid w:val="005D60D8"/>
    <w:rsid w:val="005E2E7D"/>
    <w:rsid w:val="005F209F"/>
    <w:rsid w:val="00603D79"/>
    <w:rsid w:val="00607045"/>
    <w:rsid w:val="0062159D"/>
    <w:rsid w:val="00640FF8"/>
    <w:rsid w:val="00650DFC"/>
    <w:rsid w:val="00653483"/>
    <w:rsid w:val="00654AE4"/>
    <w:rsid w:val="006745EB"/>
    <w:rsid w:val="0068008B"/>
    <w:rsid w:val="0068243D"/>
    <w:rsid w:val="006876DB"/>
    <w:rsid w:val="00695E9C"/>
    <w:rsid w:val="0069739C"/>
    <w:rsid w:val="006A491C"/>
    <w:rsid w:val="006B7102"/>
    <w:rsid w:val="006C77E8"/>
    <w:rsid w:val="006E488F"/>
    <w:rsid w:val="006F7A88"/>
    <w:rsid w:val="007272C3"/>
    <w:rsid w:val="00731789"/>
    <w:rsid w:val="00733B04"/>
    <w:rsid w:val="0073666C"/>
    <w:rsid w:val="00736BC5"/>
    <w:rsid w:val="00740D51"/>
    <w:rsid w:val="00777A21"/>
    <w:rsid w:val="00782F29"/>
    <w:rsid w:val="00783C31"/>
    <w:rsid w:val="00793C4C"/>
    <w:rsid w:val="0079714E"/>
    <w:rsid w:val="007A545B"/>
    <w:rsid w:val="007A7CA8"/>
    <w:rsid w:val="007C2924"/>
    <w:rsid w:val="007F11F6"/>
    <w:rsid w:val="007F194D"/>
    <w:rsid w:val="00812127"/>
    <w:rsid w:val="0081317D"/>
    <w:rsid w:val="008205C7"/>
    <w:rsid w:val="00844046"/>
    <w:rsid w:val="008601DB"/>
    <w:rsid w:val="00864946"/>
    <w:rsid w:val="00867033"/>
    <w:rsid w:val="0087127D"/>
    <w:rsid w:val="008752E7"/>
    <w:rsid w:val="00876C34"/>
    <w:rsid w:val="008911EE"/>
    <w:rsid w:val="008944EC"/>
    <w:rsid w:val="008A4786"/>
    <w:rsid w:val="008A5398"/>
    <w:rsid w:val="008A57DE"/>
    <w:rsid w:val="008D0F9C"/>
    <w:rsid w:val="008D7D17"/>
    <w:rsid w:val="008F4CE3"/>
    <w:rsid w:val="008F7480"/>
    <w:rsid w:val="0090326B"/>
    <w:rsid w:val="009041E5"/>
    <w:rsid w:val="0091608C"/>
    <w:rsid w:val="00922136"/>
    <w:rsid w:val="00926C7D"/>
    <w:rsid w:val="0095256F"/>
    <w:rsid w:val="009630C9"/>
    <w:rsid w:val="00977B70"/>
    <w:rsid w:val="0099473B"/>
    <w:rsid w:val="009B31F1"/>
    <w:rsid w:val="009B4023"/>
    <w:rsid w:val="009B4793"/>
    <w:rsid w:val="009B59FC"/>
    <w:rsid w:val="009D0AB5"/>
    <w:rsid w:val="009F2E29"/>
    <w:rsid w:val="00A0575B"/>
    <w:rsid w:val="00A07DD0"/>
    <w:rsid w:val="00A103D8"/>
    <w:rsid w:val="00A1453E"/>
    <w:rsid w:val="00A2265A"/>
    <w:rsid w:val="00A371EF"/>
    <w:rsid w:val="00A71C3F"/>
    <w:rsid w:val="00A7711A"/>
    <w:rsid w:val="00A85FBC"/>
    <w:rsid w:val="00A937ED"/>
    <w:rsid w:val="00AA26CB"/>
    <w:rsid w:val="00AC3E14"/>
    <w:rsid w:val="00AD51B0"/>
    <w:rsid w:val="00AE4EE9"/>
    <w:rsid w:val="00AE58AE"/>
    <w:rsid w:val="00B354F0"/>
    <w:rsid w:val="00B4274A"/>
    <w:rsid w:val="00B4590C"/>
    <w:rsid w:val="00B66C26"/>
    <w:rsid w:val="00B77048"/>
    <w:rsid w:val="00B77906"/>
    <w:rsid w:val="00B80434"/>
    <w:rsid w:val="00B82B1C"/>
    <w:rsid w:val="00B87707"/>
    <w:rsid w:val="00B960FB"/>
    <w:rsid w:val="00BA0179"/>
    <w:rsid w:val="00BA1A0C"/>
    <w:rsid w:val="00BA34DD"/>
    <w:rsid w:val="00BB2BEF"/>
    <w:rsid w:val="00BD5F42"/>
    <w:rsid w:val="00C004BD"/>
    <w:rsid w:val="00C03A0C"/>
    <w:rsid w:val="00C45E1B"/>
    <w:rsid w:val="00CC7AE2"/>
    <w:rsid w:val="00CF4BA1"/>
    <w:rsid w:val="00D06F80"/>
    <w:rsid w:val="00D13486"/>
    <w:rsid w:val="00D21CA8"/>
    <w:rsid w:val="00D32A4F"/>
    <w:rsid w:val="00D43345"/>
    <w:rsid w:val="00D44DBB"/>
    <w:rsid w:val="00D74D01"/>
    <w:rsid w:val="00D75242"/>
    <w:rsid w:val="00D81CEF"/>
    <w:rsid w:val="00D87157"/>
    <w:rsid w:val="00D922C5"/>
    <w:rsid w:val="00D95434"/>
    <w:rsid w:val="00DA0C93"/>
    <w:rsid w:val="00DC09B0"/>
    <w:rsid w:val="00DD0D73"/>
    <w:rsid w:val="00DD4D0D"/>
    <w:rsid w:val="00DF4338"/>
    <w:rsid w:val="00E0355A"/>
    <w:rsid w:val="00E11A73"/>
    <w:rsid w:val="00E12D2E"/>
    <w:rsid w:val="00E20120"/>
    <w:rsid w:val="00E21F0A"/>
    <w:rsid w:val="00E44282"/>
    <w:rsid w:val="00E50BE0"/>
    <w:rsid w:val="00E62D25"/>
    <w:rsid w:val="00E633B1"/>
    <w:rsid w:val="00E65BCB"/>
    <w:rsid w:val="00E90E05"/>
    <w:rsid w:val="00EA3D74"/>
    <w:rsid w:val="00EA6AFA"/>
    <w:rsid w:val="00EC1E3D"/>
    <w:rsid w:val="00ED1313"/>
    <w:rsid w:val="00ED5613"/>
    <w:rsid w:val="00ED772A"/>
    <w:rsid w:val="00EE5E59"/>
    <w:rsid w:val="00EE62B6"/>
    <w:rsid w:val="00F11D51"/>
    <w:rsid w:val="00F2580B"/>
    <w:rsid w:val="00F27F9E"/>
    <w:rsid w:val="00F44AB9"/>
    <w:rsid w:val="00F72F47"/>
    <w:rsid w:val="00F736F0"/>
    <w:rsid w:val="00F77130"/>
    <w:rsid w:val="00F77142"/>
    <w:rsid w:val="00F93F23"/>
    <w:rsid w:val="00F945B4"/>
    <w:rsid w:val="00FB78AC"/>
    <w:rsid w:val="00FC0895"/>
    <w:rsid w:val="00FC644A"/>
    <w:rsid w:val="00FF3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06F80"/>
    <w:rPr>
      <w:rFonts w:ascii="Raleway" w:eastAsia="Raleway" w:hAnsi="Raleway" w:cs="Raleway"/>
      <w:lang w:val="pl-PL" w:eastAsia="pl-PL" w:bidi="pl-PL"/>
    </w:rPr>
  </w:style>
  <w:style w:type="paragraph" w:styleId="Nagwek3">
    <w:name w:val="heading 3"/>
    <w:basedOn w:val="Normalny"/>
    <w:link w:val="Nagwek3Znak"/>
    <w:uiPriority w:val="9"/>
    <w:qFormat/>
    <w:rsid w:val="00A103D8"/>
    <w:pPr>
      <w:widowControl/>
      <w:autoSpaceDE/>
      <w:autoSpaceDN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4590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B4590C"/>
    <w:rPr>
      <w:sz w:val="14"/>
      <w:szCs w:val="14"/>
    </w:rPr>
  </w:style>
  <w:style w:type="paragraph" w:styleId="Akapitzlist">
    <w:name w:val="List Paragraph"/>
    <w:basedOn w:val="Normalny"/>
    <w:uiPriority w:val="34"/>
    <w:qFormat/>
    <w:rsid w:val="00B4590C"/>
  </w:style>
  <w:style w:type="paragraph" w:customStyle="1" w:styleId="TableParagraph">
    <w:name w:val="Table Paragraph"/>
    <w:basedOn w:val="Normalny"/>
    <w:uiPriority w:val="1"/>
    <w:qFormat/>
    <w:rsid w:val="00B4590C"/>
  </w:style>
  <w:style w:type="character" w:styleId="Hipercze">
    <w:name w:val="Hyperlink"/>
    <w:basedOn w:val="Domylnaczcionkaakapitu"/>
    <w:uiPriority w:val="99"/>
    <w:unhideWhenUsed/>
    <w:rsid w:val="00F11D51"/>
    <w:rPr>
      <w:color w:val="6EAC1C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11D51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8121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12127"/>
    <w:rPr>
      <w:rFonts w:ascii="Raleway" w:eastAsia="Raleway" w:hAnsi="Raleway" w:cs="Raleway"/>
      <w:lang w:val="pl-PL"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8121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12127"/>
    <w:rPr>
      <w:rFonts w:ascii="Raleway" w:eastAsia="Raleway" w:hAnsi="Raleway" w:cs="Raleway"/>
      <w:lang w:val="pl-PL" w:eastAsia="pl-PL" w:bidi="pl-PL"/>
    </w:rPr>
  </w:style>
  <w:style w:type="paragraph" w:customStyle="1" w:styleId="Standard">
    <w:name w:val="Standard"/>
    <w:basedOn w:val="Normalny"/>
    <w:rsid w:val="004A6DB4"/>
    <w:pPr>
      <w:widowControl/>
      <w:autoSpaceDE/>
    </w:pPr>
    <w:rPr>
      <w:rFonts w:ascii="Times New Roman" w:eastAsia="Calibri" w:hAnsi="Times New Roman" w:cs="Times New Roman"/>
      <w:sz w:val="24"/>
      <w:szCs w:val="24"/>
      <w:lang w:eastAsia="zh-CN" w:bidi="ar-SA"/>
    </w:rPr>
  </w:style>
  <w:style w:type="paragraph" w:customStyle="1" w:styleId="Pa4">
    <w:name w:val="Pa4"/>
    <w:basedOn w:val="Standard"/>
    <w:rsid w:val="004A6DB4"/>
    <w:pPr>
      <w:suppressAutoHyphens/>
      <w:spacing w:line="241" w:lineRule="atLeast"/>
      <w:textAlignment w:val="baseline"/>
    </w:pPr>
    <w:rPr>
      <w:rFonts w:ascii="Helvetica Neue LT Pro" w:eastAsia="Arial Unicode MS" w:hAnsi="Helvetica Neue LT Pro" w:cs="Calibri"/>
      <w:kern w:val="3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66C2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6C26"/>
    <w:rPr>
      <w:rFonts w:ascii="Segoe UI" w:eastAsia="Raleway" w:hAnsi="Segoe UI" w:cs="Segoe UI"/>
      <w:sz w:val="18"/>
      <w:szCs w:val="18"/>
      <w:lang w:val="pl-PL" w:eastAsia="pl-PL" w:bidi="pl-PL"/>
    </w:rPr>
  </w:style>
  <w:style w:type="paragraph" w:styleId="NormalnyWeb">
    <w:name w:val="Normal (Web)"/>
    <w:basedOn w:val="Normalny"/>
    <w:uiPriority w:val="99"/>
    <w:semiHidden/>
    <w:unhideWhenUsed/>
    <w:rsid w:val="00D95434"/>
    <w:pPr>
      <w:widowControl/>
      <w:autoSpaceDE/>
      <w:autoSpaceDN/>
      <w:spacing w:before="100" w:beforeAutospacing="1" w:after="100" w:afterAutospacing="1"/>
    </w:pPr>
    <w:rPr>
      <w:rFonts w:ascii="Calibri" w:eastAsiaTheme="minorHAnsi" w:hAnsi="Calibri" w:cs="Calibri"/>
      <w:lang w:bidi="ar-SA"/>
    </w:rPr>
  </w:style>
  <w:style w:type="table" w:styleId="Tabela-Siatka">
    <w:name w:val="Table Grid"/>
    <w:basedOn w:val="Standardowy"/>
    <w:uiPriority w:val="39"/>
    <w:rsid w:val="00D752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ny"/>
    <w:next w:val="Normalny"/>
    <w:uiPriority w:val="35"/>
    <w:unhideWhenUsed/>
    <w:qFormat/>
    <w:rsid w:val="00BA0179"/>
    <w:pPr>
      <w:spacing w:after="200"/>
    </w:pPr>
    <w:rPr>
      <w:i/>
      <w:iCs/>
      <w:color w:val="335B74" w:themeColor="text2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A491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A491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A491C"/>
    <w:rPr>
      <w:rFonts w:ascii="Raleway" w:eastAsia="Raleway" w:hAnsi="Raleway" w:cs="Raleway"/>
      <w:sz w:val="20"/>
      <w:szCs w:val="20"/>
      <w:lang w:val="pl-PL"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A491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A491C"/>
    <w:rPr>
      <w:rFonts w:ascii="Raleway" w:eastAsia="Raleway" w:hAnsi="Raleway" w:cs="Raleway"/>
      <w:b/>
      <w:bCs/>
      <w:sz w:val="20"/>
      <w:szCs w:val="20"/>
      <w:lang w:val="pl-PL" w:eastAsia="pl-PL" w:bidi="pl-PL"/>
    </w:rPr>
  </w:style>
  <w:style w:type="character" w:customStyle="1" w:styleId="Nagwek3Znak">
    <w:name w:val="Nagłówek 3 Znak"/>
    <w:basedOn w:val="Domylnaczcionkaakapitu"/>
    <w:link w:val="Nagwek3"/>
    <w:uiPriority w:val="9"/>
    <w:rsid w:val="00A103D8"/>
    <w:rPr>
      <w:rFonts w:ascii="Times New Roman" w:eastAsia="Times New Roman" w:hAnsi="Times New Roman" w:cs="Times New Roman"/>
      <w:b/>
      <w:bCs/>
      <w:sz w:val="27"/>
      <w:szCs w:val="27"/>
      <w:lang w:val="pl-PL"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D922C5"/>
    <w:pPr>
      <w:widowControl/>
      <w:autoSpaceDE/>
      <w:autoSpaceDN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 w:bidi="ar-SA"/>
    </w:rPr>
  </w:style>
  <w:style w:type="character" w:customStyle="1" w:styleId="TytuZnak">
    <w:name w:val="Tytuł Znak"/>
    <w:basedOn w:val="Domylnaczcionkaakapitu"/>
    <w:link w:val="Tytu"/>
    <w:uiPriority w:val="10"/>
    <w:rsid w:val="00D922C5"/>
    <w:rPr>
      <w:rFonts w:asciiTheme="majorHAnsi" w:eastAsiaTheme="majorEastAsia" w:hAnsiTheme="majorHAnsi" w:cstheme="majorBidi"/>
      <w:spacing w:val="-10"/>
      <w:kern w:val="28"/>
      <w:sz w:val="56"/>
      <w:szCs w:val="56"/>
      <w:lang w:val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2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7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0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8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17" Type="http://schemas.microsoft.com/office/2011/relationships/people" Target="people.xml"/><Relationship Id="rId2" Type="http://schemas.openxmlformats.org/officeDocument/2006/relationships/numbering" Target="numbering.xml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19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Niebieski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EE0436-4445-4472-B21E-EF67D3631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752</Words>
  <Characters>4514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ercris</dc:creator>
  <cp:lastModifiedBy>Jakub Goławski</cp:lastModifiedBy>
  <cp:revision>5</cp:revision>
  <dcterms:created xsi:type="dcterms:W3CDTF">2020-05-15T12:05:00Z</dcterms:created>
  <dcterms:modified xsi:type="dcterms:W3CDTF">2020-06-03T10:22:00Z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2018-08-13T00:00:00Z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2018-10-12T00:00:00Z</vt:filetime>
  </property>
</Properties>
</file>